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jc w:val="center"/>
        <w:rPr>
          <w:rFonts w:hint="default" w:ascii="ＭＳ ゴシック" w:hAnsi="ＭＳ ゴシック" w:eastAsia="ＭＳ ゴシック"/>
          <w:b w:val="1"/>
          <w:sz w:val="28"/>
        </w:rPr>
      </w:pPr>
      <w:r>
        <w:rPr>
          <w:rFonts w:hint="eastAsia" w:ascii="ＭＳ ゴシック" w:hAnsi="ＭＳ ゴシック" w:eastAsia="ＭＳ ゴシック"/>
          <w:b w:val="1"/>
          <w:sz w:val="28"/>
        </w:rPr>
        <w:t>はかりの定期検査手数料【令和６年</w:t>
      </w:r>
      <w:r>
        <w:rPr>
          <w:rFonts w:hint="eastAsia" w:ascii="ＭＳ ゴシック" w:hAnsi="ＭＳ ゴシック" w:eastAsia="ＭＳ ゴシック"/>
          <w:b w:val="1"/>
          <w:sz w:val="28"/>
        </w:rPr>
        <w:t>(2024</w:t>
      </w:r>
      <w:r>
        <w:rPr>
          <w:rFonts w:hint="eastAsia" w:ascii="ＭＳ ゴシック" w:hAnsi="ＭＳ ゴシック" w:eastAsia="ＭＳ ゴシック"/>
          <w:b w:val="1"/>
          <w:sz w:val="28"/>
        </w:rPr>
        <w:t>年</w:t>
      </w:r>
      <w:r>
        <w:rPr>
          <w:rFonts w:hint="eastAsia" w:ascii="ＭＳ ゴシック" w:hAnsi="ＭＳ ゴシック" w:eastAsia="ＭＳ ゴシック"/>
          <w:b w:val="1"/>
          <w:sz w:val="28"/>
        </w:rPr>
        <w:t>)</w:t>
      </w:r>
      <w:r>
        <w:rPr>
          <w:rFonts w:hint="eastAsia" w:ascii="ＭＳ ゴシック" w:hAnsi="ＭＳ ゴシック" w:eastAsia="ＭＳ ゴシック"/>
          <w:b w:val="1"/>
          <w:sz w:val="28"/>
        </w:rPr>
        <w:t>４月１日現在】</w:t>
      </w:r>
    </w:p>
    <w:p>
      <w:pPr>
        <w:pStyle w:val="0"/>
        <w:jc w:val="center"/>
        <w:rPr>
          <w:rFonts w:hint="eastAsia" w:ascii="ＭＳ Ｐ明朝" w:hAnsi="ＭＳ Ｐ明朝" w:eastAsia="ＭＳ Ｐ明朝"/>
          <w:sz w:val="16"/>
        </w:rPr>
      </w:pPr>
      <w:r>
        <w:rPr>
          <w:rFonts w:hint="eastAsia" w:ascii="ＭＳ Ｐ明朝" w:hAnsi="ＭＳ Ｐ明朝" w:eastAsia="ＭＳ Ｐ明朝"/>
          <w:sz w:val="16"/>
        </w:rPr>
        <w:t>長野県手数料徴収条例（平成</w:t>
      </w:r>
      <w:r>
        <w:rPr>
          <w:rFonts w:hint="eastAsia" w:ascii="ＭＳ Ｐ明朝" w:hAnsi="ＭＳ Ｐ明朝" w:eastAsia="ＭＳ Ｐ明朝"/>
          <w:sz w:val="16"/>
        </w:rPr>
        <w:t>12</w:t>
      </w:r>
      <w:r>
        <w:rPr>
          <w:rFonts w:hint="eastAsia" w:ascii="ＭＳ Ｐ明朝" w:hAnsi="ＭＳ Ｐ明朝" w:eastAsia="ＭＳ Ｐ明朝"/>
          <w:sz w:val="16"/>
        </w:rPr>
        <w:t>年条例第</w:t>
      </w:r>
      <w:r>
        <w:rPr>
          <w:rFonts w:hint="default" w:ascii="ＭＳ Ｐ明朝" w:hAnsi="ＭＳ Ｐ明朝" w:eastAsia="ＭＳ Ｐ明朝"/>
          <w:sz w:val="16"/>
        </w:rPr>
        <w:t>2</w:t>
      </w:r>
      <w:r>
        <w:rPr>
          <w:rFonts w:hint="eastAsia" w:ascii="ＭＳ Ｐ明朝" w:hAnsi="ＭＳ Ｐ明朝" w:eastAsia="ＭＳ Ｐ明朝"/>
          <w:sz w:val="16"/>
        </w:rPr>
        <w:t>号）、計量法に基づく事務に係る手数料徴収規則（平成</w:t>
      </w:r>
      <w:r>
        <w:rPr>
          <w:rFonts w:hint="default" w:ascii="ＭＳ Ｐ明朝" w:hAnsi="ＭＳ Ｐ明朝" w:eastAsia="ＭＳ Ｐ明朝"/>
          <w:sz w:val="16"/>
        </w:rPr>
        <w:t>12</w:t>
      </w:r>
      <w:r>
        <w:rPr>
          <w:rFonts w:hint="eastAsia" w:ascii="ＭＳ Ｐ明朝" w:hAnsi="ＭＳ Ｐ明朝" w:eastAsia="ＭＳ Ｐ明朝"/>
          <w:sz w:val="16"/>
        </w:rPr>
        <w:t>年規則第</w:t>
      </w:r>
      <w:r>
        <w:rPr>
          <w:rFonts w:hint="default" w:ascii="ＭＳ Ｐ明朝" w:hAnsi="ＭＳ Ｐ明朝" w:eastAsia="ＭＳ Ｐ明朝"/>
          <w:sz w:val="16"/>
        </w:rPr>
        <w:t>6</w:t>
      </w:r>
      <w:r>
        <w:rPr>
          <w:rFonts w:hint="eastAsia" w:ascii="ＭＳ Ｐ明朝" w:hAnsi="ＭＳ Ｐ明朝" w:eastAsia="ＭＳ Ｐ明朝"/>
          <w:sz w:val="16"/>
        </w:rPr>
        <w:t>号）</w:t>
      </w:r>
    </w:p>
    <w:tbl>
      <w:tblPr>
        <w:tblStyle w:val="11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427"/>
        <w:gridCol w:w="1524"/>
        <w:gridCol w:w="3402"/>
        <w:gridCol w:w="1276"/>
        <w:gridCol w:w="1559"/>
        <w:gridCol w:w="1418"/>
      </w:tblGrid>
      <w:tr>
        <w:trPr/>
        <w:tc>
          <w:tcPr>
            <w:tcW w:w="1951" w:type="dxa"/>
            <w:gridSpan w:val="2"/>
            <w:tcBorders>
              <w:top w:val="single" w:color="auto" w:sz="12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種　　類</w:t>
            </w:r>
          </w:p>
        </w:tc>
        <w:tc>
          <w:tcPr>
            <w:tcW w:w="3402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外　　　　観</w:t>
            </w:r>
          </w:p>
        </w:tc>
        <w:tc>
          <w:tcPr>
            <w:tcW w:w="1276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主な用途</w:t>
            </w:r>
          </w:p>
          <w:p>
            <w:pPr>
              <w:pStyle w:val="0"/>
              <w:snapToGrid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（業種）</w:t>
            </w:r>
          </w:p>
        </w:tc>
        <w:tc>
          <w:tcPr>
            <w:tcW w:w="1559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ひょう量等</w:t>
            </w:r>
          </w:p>
        </w:tc>
        <w:tc>
          <w:tcPr>
            <w:tcW w:w="1418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ＭＳ 明朝" w:hAnsi="ＭＳ 明朝"/>
                <w:spacing w:val="-20"/>
              </w:rPr>
            </w:pPr>
            <w:r>
              <w:rPr>
                <w:rFonts w:hint="eastAsia" w:ascii="ＭＳ 明朝" w:hAnsi="ＭＳ 明朝"/>
                <w:spacing w:val="-20"/>
              </w:rPr>
              <w:t>１個あたりの</w:t>
            </w:r>
          </w:p>
          <w:p>
            <w:pPr>
              <w:pStyle w:val="0"/>
              <w:snapToGrid w:val="0"/>
              <w:jc w:val="center"/>
              <w:rPr>
                <w:rFonts w:hint="default" w:ascii="ＭＳ 明朝" w:hAnsi="ＭＳ 明朝"/>
                <w:spacing w:val="-20"/>
              </w:rPr>
            </w:pPr>
            <w:r>
              <w:rPr>
                <w:rFonts w:hint="eastAsia" w:ascii="ＭＳ 明朝" w:hAnsi="ＭＳ 明朝"/>
                <w:spacing w:val="-20"/>
              </w:rPr>
              <w:t>手数料（円）</w:t>
            </w:r>
          </w:p>
        </w:tc>
      </w:tr>
      <w:tr>
        <w:trPr>
          <w:trHeight w:val="830" w:hRule="atLeast"/>
        </w:trPr>
        <w:tc>
          <w:tcPr>
            <w:tcW w:w="1951" w:type="dxa"/>
            <w:gridSpan w:val="2"/>
            <w:vMerge w:val="restart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b w:val="1"/>
              </w:rPr>
            </w:pPr>
            <w:r>
              <w:rPr>
                <w:rFonts w:hint="eastAsia" w:ascii="ＭＳ ゴシック" w:hAnsi="ＭＳ ゴシック" w:eastAsia="ＭＳ ゴシック"/>
                <w:b w:val="1"/>
              </w:rPr>
              <w:t>電気式はかり</w:t>
            </w:r>
          </w:p>
          <w:p>
            <w:pPr>
              <w:pStyle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検出原理</w:t>
            </w:r>
          </w:p>
          <w:p>
            <w:pPr>
              <w:pStyle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・電気抵抗線式</w:t>
            </w:r>
          </w:p>
          <w:p>
            <w:pPr>
              <w:pStyle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・誘電式</w:t>
            </w:r>
          </w:p>
          <w:p>
            <w:pPr>
              <w:pStyle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・電磁式</w:t>
            </w:r>
          </w:p>
          <w:p>
            <w:pPr>
              <w:pStyle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・光電式</w:t>
            </w:r>
          </w:p>
          <w:p>
            <w:pPr>
              <w:pStyle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・圧電式　等</w:t>
            </w:r>
          </w:p>
        </w:tc>
        <w:tc>
          <w:tcPr>
            <w:tcW w:w="340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jc w:val="left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14" behindDoc="0" locked="0" layoutInCell="1" hidden="0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944880</wp:posOffset>
                  </wp:positionV>
                  <wp:extent cx="904875" cy="563245"/>
                  <wp:effectExtent l="0" t="0" r="0" b="0"/>
                  <wp:wrapNone/>
                  <wp:docPr id="102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63245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2" behindDoc="0" locked="0" layoutInCell="1" hidden="0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114300</wp:posOffset>
                  </wp:positionV>
                  <wp:extent cx="735330" cy="558800"/>
                  <wp:effectExtent l="0" t="0" r="0" b="0"/>
                  <wp:wrapNone/>
                  <wp:docPr id="102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5880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simplePos="0" relativeHeight="9" behindDoc="0" locked="0" layoutInCell="1" hidden="0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123825</wp:posOffset>
                  </wp:positionV>
                  <wp:extent cx="781050" cy="1253490"/>
                  <wp:effectExtent l="0" t="0" r="0" b="0"/>
                  <wp:wrapNone/>
                  <wp:docPr id="102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25349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食料品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薬局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病院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学校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幼稚園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保育園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1,400</w:t>
            </w:r>
          </w:p>
        </w:tc>
      </w:tr>
      <w:tr>
        <w:trPr>
          <w:trHeight w:val="830" w:hRule="atLeast"/>
        </w:trPr>
        <w:tc>
          <w:tcPr>
            <w:tcW w:w="1951" w:type="dxa"/>
            <w:gridSpan w:val="2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rPr>
                <w:rFonts w:hint="eastAsia" w:ascii="ＭＳ 明朝" w:hAnsi="ＭＳ 明朝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rPr>
                <w:rFonts w:hint="default" w:ascii="ＭＳ 明朝" w:hAnsi="ＭＳ 明朝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を超え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250kg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1,800</w:t>
            </w:r>
          </w:p>
        </w:tc>
      </w:tr>
      <w:tr>
        <w:trPr>
          <w:trHeight w:val="731" w:hRule="atLeast"/>
        </w:trPr>
        <w:tc>
          <w:tcPr>
            <w:tcW w:w="1951" w:type="dxa"/>
            <w:gridSpan w:val="2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rPr>
                <w:rFonts w:hint="eastAsia" w:ascii="ＭＳ 明朝" w:hAnsi="ＭＳ 明朝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rPr>
                <w:rFonts w:hint="default" w:ascii="ＭＳ 明朝" w:hAnsi="ＭＳ 明朝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250kg</w:t>
            </w:r>
            <w:r>
              <w:rPr>
                <w:rFonts w:hint="eastAsia" w:ascii="ＭＳ 明朝" w:hAnsi="ＭＳ 明朝"/>
              </w:rPr>
              <w:t>を超え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2,300</w:t>
            </w:r>
          </w:p>
        </w:tc>
      </w:tr>
      <w:tr>
        <w:trPr>
          <w:trHeight w:val="939" w:hRule="atLeast"/>
        </w:trPr>
        <w:tc>
          <w:tcPr>
            <w:tcW w:w="427" w:type="dxa"/>
            <w:vMerge w:val="restart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b w:val="1"/>
              </w:rPr>
            </w:pPr>
            <w:r>
              <w:rPr>
                <w:rFonts w:hint="eastAsia" w:ascii="ＭＳ ゴシック" w:hAnsi="ＭＳ ゴシック" w:eastAsia="ＭＳ ゴシック"/>
                <w:b w:val="1"/>
              </w:rPr>
              <w:t>機械式はかり</w:t>
            </w:r>
          </w:p>
        </w:tc>
        <w:tc>
          <w:tcPr>
            <w:tcW w:w="152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直線目盛指示</w:t>
            </w:r>
          </w:p>
          <w:p>
            <w:pPr>
              <w:pStyle w:val="0"/>
              <w:snapToGrid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はかり</w:t>
            </w:r>
          </w:p>
        </w:tc>
        <w:tc>
          <w:tcPr>
            <w:tcW w:w="340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/>
              </w:rPr>
              <w:drawing>
                <wp:anchor simplePos="0" relativeHeight="12" behindDoc="0" locked="0" layoutInCell="1" hidden="0" allowOverlap="1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8890</wp:posOffset>
                  </wp:positionV>
                  <wp:extent cx="131445" cy="593090"/>
                  <wp:effectExtent l="0" t="0" r="0" b="0"/>
                  <wp:wrapNone/>
                  <wp:docPr id="102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" cy="59309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保健所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宅配便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 w:ascii="ＭＳ 明朝" w:hAnsi="ＭＳ 明朝"/>
              </w:rPr>
            </w:pP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250</w:t>
            </w:r>
          </w:p>
        </w:tc>
      </w:tr>
      <w:tr>
        <w:trPr>
          <w:trHeight w:val="1040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ばね式指示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はかり</w:t>
            </w:r>
          </w:p>
        </w:tc>
        <w:tc>
          <w:tcPr>
            <w:tcW w:w="340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4" behindDoc="0" locked="0" layoutInCell="1" hidden="0" allowOverlap="1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190500</wp:posOffset>
                  </wp:positionV>
                  <wp:extent cx="647700" cy="1644650"/>
                  <wp:effectExtent l="0" t="0" r="0" b="0"/>
                  <wp:wrapNone/>
                  <wp:docPr id="1030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64465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16" behindDoc="0" locked="0" layoutInCell="1" hidden="0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101600</wp:posOffset>
                  </wp:positionV>
                  <wp:extent cx="560070" cy="1011555"/>
                  <wp:effectExtent l="0" t="0" r="0" b="0"/>
                  <wp:wrapNone/>
                  <wp:docPr id="103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1011555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15" behindDoc="0" locked="0" layoutInCell="1" hidden="0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1122680</wp:posOffset>
                  </wp:positionV>
                  <wp:extent cx="919480" cy="717550"/>
                  <wp:effectExtent l="0" t="0" r="0" b="0"/>
                  <wp:wrapNone/>
                  <wp:docPr id="103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1755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3" behindDoc="0" locked="0" layoutInCell="1" hidden="0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107315</wp:posOffset>
                  </wp:positionV>
                  <wp:extent cx="662305" cy="822325"/>
                  <wp:effectExtent l="0" t="0" r="0" b="0"/>
                  <wp:wrapNone/>
                  <wp:docPr id="103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22325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食料品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宅配便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病院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学校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幼稚園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保育園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</w:t>
            </w:r>
          </w:p>
        </w:tc>
      </w:tr>
      <w:tr>
        <w:trPr>
          <w:trHeight w:val="984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を超え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250kg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900</w:t>
            </w:r>
          </w:p>
        </w:tc>
      </w:tr>
      <w:tr>
        <w:trPr>
          <w:trHeight w:val="984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250kg</w:t>
            </w:r>
            <w:r>
              <w:rPr>
                <w:rFonts w:hint="eastAsia" w:ascii="ＭＳ 明朝" w:hAnsi="ＭＳ 明朝"/>
              </w:rPr>
              <w:t>を超え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1,500</w:t>
            </w:r>
          </w:p>
        </w:tc>
      </w:tr>
      <w:tr>
        <w:trPr>
          <w:trHeight w:val="856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棒はかり</w:t>
            </w:r>
          </w:p>
        </w:tc>
        <w:tc>
          <w:tcPr>
            <w:tcW w:w="340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11" behindDoc="0" locked="0" layoutInCell="1" hidden="0" allowOverlap="1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46990</wp:posOffset>
                  </wp:positionV>
                  <wp:extent cx="809625" cy="445770"/>
                  <wp:effectExtent l="0" t="0" r="0" b="0"/>
                  <wp:wrapNone/>
                  <wp:docPr id="103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4577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寝具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薬草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 w:ascii="ＭＳ 明朝" w:hAnsi="ＭＳ 明朝"/>
              </w:rPr>
            </w:pP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250</w:t>
            </w:r>
          </w:p>
        </w:tc>
      </w:tr>
      <w:tr>
        <w:trPr>
          <w:trHeight w:val="684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手動天びん</w:t>
            </w:r>
          </w:p>
        </w:tc>
        <w:tc>
          <w:tcPr>
            <w:tcW w:w="340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5" behindDoc="0" locked="0" layoutInCell="1" hidden="0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102235</wp:posOffset>
                  </wp:positionV>
                  <wp:extent cx="695325" cy="725805"/>
                  <wp:effectExtent l="0" t="0" r="0" b="0"/>
                  <wp:wrapNone/>
                  <wp:docPr id="103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25805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薬局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病院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感量比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1/10,000</w:t>
            </w:r>
            <w:r>
              <w:rPr>
                <w:rFonts w:hint="eastAsia" w:ascii="ＭＳ 明朝" w:hAnsi="ＭＳ 明朝"/>
              </w:rPr>
              <w:t>以上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</w:t>
            </w:r>
          </w:p>
        </w:tc>
      </w:tr>
      <w:tr>
        <w:trPr>
          <w:trHeight w:val="708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感量比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1/10,000</w:t>
            </w:r>
            <w:r>
              <w:rPr>
                <w:rFonts w:hint="eastAsia" w:ascii="ＭＳ 明朝" w:hAnsi="ＭＳ 明朝"/>
              </w:rPr>
              <w:t>未満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1,000</w:t>
            </w:r>
          </w:p>
        </w:tc>
      </w:tr>
      <w:tr>
        <w:trPr>
          <w:trHeight w:val="862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等比皿手動</w:t>
            </w:r>
          </w:p>
          <w:p>
            <w:pPr>
              <w:pStyle w:val="0"/>
              <w:snapToGrid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はかり</w:t>
            </w:r>
          </w:p>
        </w:tc>
        <w:tc>
          <w:tcPr>
            <w:tcW w:w="340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10" behindDoc="0" locked="0" layoutInCell="1" hidden="0" allowOverlap="1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57785</wp:posOffset>
                  </wp:positionV>
                  <wp:extent cx="581025" cy="444500"/>
                  <wp:effectExtent l="0" t="0" r="0" b="0"/>
                  <wp:wrapNone/>
                  <wp:docPr id="103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4450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薬局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</w:t>
            </w:r>
          </w:p>
        </w:tc>
      </w:tr>
      <w:tr>
        <w:trPr>
          <w:trHeight w:val="675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手動はかり</w:t>
            </w:r>
          </w:p>
        </w:tc>
        <w:tc>
          <w:tcPr>
            <w:tcW w:w="340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7" behindDoc="0" locked="0" layoutInCell="1" hidden="0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230505</wp:posOffset>
                  </wp:positionV>
                  <wp:extent cx="778510" cy="929005"/>
                  <wp:effectExtent l="0" t="0" r="0" b="0"/>
                  <wp:wrapNone/>
                  <wp:docPr id="103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29005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6" behindDoc="0" locked="0" layoutInCell="1" hidden="0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394335</wp:posOffset>
                  </wp:positionV>
                  <wp:extent cx="882650" cy="662940"/>
                  <wp:effectExtent l="0" t="0" r="0" b="0"/>
                  <wp:wrapNone/>
                  <wp:docPr id="103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6294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酒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米穀</w:t>
            </w:r>
          </w:p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製麺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製菓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</w:t>
            </w:r>
          </w:p>
        </w:tc>
      </w:tr>
      <w:tr>
        <w:trPr>
          <w:trHeight w:val="699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524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を超え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250kg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900</w:t>
            </w:r>
          </w:p>
        </w:tc>
      </w:tr>
      <w:tr>
        <w:trPr>
          <w:trHeight w:val="695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524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40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27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250kg</w:t>
            </w:r>
            <w:r>
              <w:rPr>
                <w:rFonts w:hint="eastAsia" w:ascii="ＭＳ 明朝" w:hAnsi="ＭＳ 明朝"/>
              </w:rPr>
              <w:t>を超え</w:t>
            </w:r>
          </w:p>
          <w:p>
            <w:pPr>
              <w:pStyle w:val="0"/>
              <w:snapToGrid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1,500</w:t>
            </w:r>
          </w:p>
        </w:tc>
      </w:tr>
      <w:tr>
        <w:trPr>
          <w:trHeight w:val="988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52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手動指示併用</w:t>
            </w:r>
          </w:p>
          <w:p>
            <w:pPr>
              <w:pStyle w:val="0"/>
              <w:snapToGrid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はかり</w:t>
            </w:r>
          </w:p>
        </w:tc>
        <w:tc>
          <w:tcPr>
            <w:tcW w:w="340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13" behindDoc="0" locked="0" layoutInCell="1" hidden="0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615950</wp:posOffset>
                  </wp:positionV>
                  <wp:extent cx="575945" cy="495300"/>
                  <wp:effectExtent l="0" t="0" r="0" b="0"/>
                  <wp:wrapNone/>
                  <wp:docPr id="103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49530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8" behindDoc="0" locked="0" layoutInCell="1" hidden="0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21590</wp:posOffset>
                  </wp:positionV>
                  <wp:extent cx="619125" cy="579755"/>
                  <wp:effectExtent l="0" t="0" r="0" b="0"/>
                  <wp:wrapNone/>
                  <wp:docPr id="1040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79755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ＭＳ 明朝" w:hAnsi="ＭＳ 明朝"/>
              </w:rPr>
            </w:pPr>
            <w:r>
              <w:rPr>
                <w:rFonts w:hint="eastAsia" w:ascii="ＭＳ 明朝" w:hAnsi="ＭＳ 明朝"/>
              </w:rPr>
              <w:t>病院</w:t>
            </w:r>
          </w:p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薬局</w:t>
            </w: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100kg</w:t>
            </w:r>
            <w:r>
              <w:rPr>
                <w:rFonts w:hint="eastAsia" w:ascii="ＭＳ 明朝" w:hAnsi="ＭＳ 明朝"/>
              </w:rPr>
              <w:t>以下</w:t>
            </w: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500</w:t>
            </w:r>
          </w:p>
        </w:tc>
      </w:tr>
      <w:tr>
        <w:trPr>
          <w:trHeight w:val="699" w:hRule="atLeast"/>
        </w:trPr>
        <w:tc>
          <w:tcPr>
            <w:tcW w:w="1951" w:type="dxa"/>
            <w:gridSpan w:val="2"/>
            <w:tcBorders>
              <w:top w:val="none" w:color="auto" w:sz="0" w:space="0"/>
              <w:left w:val="single" w:color="auto" w:sz="12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ゴシック" w:hAnsi="ＭＳ ゴシック" w:eastAsia="ＭＳ ゴシック"/>
                <w:b w:val="1"/>
              </w:rPr>
            </w:pPr>
            <w:r>
              <w:rPr>
                <w:rFonts w:hint="eastAsia" w:ascii="ＭＳ ゴシック" w:hAnsi="ＭＳ ゴシック" w:eastAsia="ＭＳ ゴシック"/>
                <w:b w:val="1"/>
              </w:rPr>
              <w:t>分銅・おもり</w:t>
            </w:r>
          </w:p>
        </w:tc>
        <w:tc>
          <w:tcPr>
            <w:tcW w:w="3402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ＭＳ 明朝" w:hAnsi="ＭＳ 明朝"/>
              </w:rPr>
            </w:pPr>
            <w:r>
              <w:rPr>
                <w:rFonts w:hint="default"/>
              </w:rPr>
              <w:drawing>
                <wp:anchor simplePos="0" relativeHeight="17" behindDoc="0" locked="0" layoutInCell="1" hidden="0" allowOverlap="1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70485</wp:posOffset>
                  </wp:positionV>
                  <wp:extent cx="304800" cy="304800"/>
                  <wp:effectExtent l="0" t="0" r="0" b="0"/>
                  <wp:wrapNone/>
                  <wp:docPr id="104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simplePos="0" relativeHeight="18" behindDoc="0" locked="0" layoutInCell="1" hidden="0" allowOverlap="1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54610</wp:posOffset>
                  </wp:positionV>
                  <wp:extent cx="361950" cy="361950"/>
                  <wp:effectExtent l="0" t="0" r="0" b="0"/>
                  <wp:wrapNone/>
                  <wp:docPr id="104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/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default" w:ascii="ＭＳ 明朝" w:hAnsi="ＭＳ 明朝"/>
              </w:rPr>
            </w:pPr>
          </w:p>
        </w:tc>
        <w:tc>
          <w:tcPr>
            <w:tcW w:w="1559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 w:ascii="ＭＳ 明朝" w:hAnsi="ＭＳ 明朝"/>
              </w:rPr>
            </w:pPr>
          </w:p>
        </w:tc>
        <w:tc>
          <w:tcPr>
            <w:tcW w:w="1418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right"/>
              <w:rPr>
                <w:rFonts w:hint="default" w:ascii="ＭＳ 明朝" w:hAnsi="ＭＳ 明朝"/>
              </w:rPr>
            </w:pPr>
            <w:r>
              <w:rPr>
                <w:rFonts w:hint="eastAsia" w:ascii="ＭＳ 明朝" w:hAnsi="ＭＳ 明朝"/>
              </w:rPr>
              <w:t>10</w:t>
            </w:r>
          </w:p>
        </w:tc>
      </w:tr>
    </w:tbl>
    <w:p>
      <w:pPr>
        <w:pStyle w:val="0"/>
        <w:rPr>
          <w:rFonts w:hint="eastAsia"/>
        </w:rPr>
      </w:pPr>
      <w:r>
        <w:rPr>
          <w:rFonts w:hint="eastAsia" w:ascii="ＭＳ 明朝" w:hAnsi="ＭＳ 明朝"/>
          <w:kern w:val="0"/>
          <w:sz w:val="16"/>
        </w:rPr>
        <w:t>注）最小の目量又は表記された感量がひょう量の１万分の１未満のものにあっては、２倍の金額（分銅・おもりを除く）</w:t>
      </w:r>
      <w:bookmarkStart w:id="0" w:name="_GoBack"/>
      <w:bookmarkEnd w:id="0"/>
    </w:p>
    <w:sectPr>
      <w:pgSz w:w="11906" w:h="16838"/>
      <w:pgMar w:top="545" w:right="1701" w:bottom="633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pn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jpg" /><Relationship Id="rId12" Type="http://schemas.openxmlformats.org/officeDocument/2006/relationships/image" Target="media/image8.jpg" /><Relationship Id="rId13" Type="http://schemas.openxmlformats.org/officeDocument/2006/relationships/image" Target="media/image9.jpg" /><Relationship Id="rId14" Type="http://schemas.openxmlformats.org/officeDocument/2006/relationships/image" Target="media/image10.jpg" /><Relationship Id="rId15" Type="http://schemas.openxmlformats.org/officeDocument/2006/relationships/image" Target="media/image11.jpg" /><Relationship Id="rId16" Type="http://schemas.openxmlformats.org/officeDocument/2006/relationships/image" Target="media/image12.jpg" /><Relationship Id="rId17" Type="http://schemas.openxmlformats.org/officeDocument/2006/relationships/image" Target="media/image13.png" /><Relationship Id="rId18" Type="http://schemas.openxmlformats.org/officeDocument/2006/relationships/image" Target="media/image14.jpg" /><Relationship Id="rId19" Type="http://schemas.openxmlformats.org/officeDocument/2006/relationships/image" Target="media/image15.jpg" /><Relationship Id="rId20" Type="http://schemas.openxmlformats.org/officeDocument/2006/relationships/image" Target="media/image16.jpg" /><Relationship Id="rId21" Type="http://schemas.openxmlformats.org/officeDocument/2006/relationships/image" Target="media/image17.jpg" /><Relationship Id="rId2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0</TotalTime>
  <Pages>1</Pages>
  <Words>0</Words>
  <Characters>0</Characters>
  <Application>JUST Note</Application>
  <Lines>0</Lines>
  <Paragraphs>0</Paragraphs>
  <CharactersWithSpaces>0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JWS24004</dc:creator>
  <cp:lastModifiedBy>JWS24004</cp:lastModifiedBy>
  <dcterms:created xsi:type="dcterms:W3CDTF">2024-04-24T07:05:00Z</dcterms:created>
  <dcterms:modified xsi:type="dcterms:W3CDTF">2024-04-24T07:05:00Z</dcterms:modified>
  <cp:revision>0</cp:revision>
</cp:coreProperties>
</file>